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F1" w:rsidRDefault="00DA497E" w:rsidP="00546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97E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1B2C690" wp14:editId="4278461F">
            <wp:extent cx="563880" cy="556260"/>
            <wp:effectExtent l="0" t="0" r="7620" b="0"/>
            <wp:docPr id="1" name="Paveikslėlis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B8" w:rsidRPr="005469B8" w:rsidRDefault="005469B8" w:rsidP="00546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497E" w:rsidRDefault="00DA497E" w:rsidP="005469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497E">
        <w:rPr>
          <w:rFonts w:ascii="Times New Roman" w:hAnsi="Times New Roman" w:cs="Times New Roman"/>
          <w:b/>
          <w:caps/>
          <w:sz w:val="24"/>
          <w:szCs w:val="24"/>
        </w:rPr>
        <w:t>LIETUVOS RESPUBLIKOS UŽSIENIO REIKALŲ MINISTERIJA</w:t>
      </w:r>
    </w:p>
    <w:p w:rsidR="00DA497E" w:rsidRPr="005469B8" w:rsidRDefault="00DA497E" w:rsidP="00DA497E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DD196E" w:rsidRDefault="00DA497E" w:rsidP="00985071">
      <w:pPr>
        <w:pStyle w:val="Porat"/>
        <w:jc w:val="center"/>
        <w:rPr>
          <w:rFonts w:ascii="Times New Roman" w:hAnsi="Times New Roman" w:cs="Times New Roman"/>
          <w:sz w:val="18"/>
          <w:szCs w:val="18"/>
        </w:rPr>
      </w:pPr>
      <w:r w:rsidRPr="00DA497E">
        <w:rPr>
          <w:rFonts w:ascii="Times New Roman" w:hAnsi="Times New Roman" w:cs="Times New Roman"/>
          <w:sz w:val="18"/>
          <w:szCs w:val="18"/>
        </w:rPr>
        <w:t xml:space="preserve">Biudžetinė įstaiga, J. Tumo-Vaižganto g. 2, </w:t>
      </w:r>
      <w:r w:rsidR="004351D1" w:rsidRPr="00012FB5">
        <w:rPr>
          <w:rFonts w:ascii="Times New Roman" w:hAnsi="Times New Roman" w:cs="Times New Roman"/>
          <w:sz w:val="18"/>
          <w:szCs w:val="18"/>
        </w:rPr>
        <w:t xml:space="preserve">01108 </w:t>
      </w:r>
      <w:r w:rsidR="001B575D">
        <w:rPr>
          <w:rFonts w:ascii="Times New Roman" w:hAnsi="Times New Roman" w:cs="Times New Roman"/>
          <w:sz w:val="18"/>
          <w:szCs w:val="18"/>
        </w:rPr>
        <w:t xml:space="preserve">Vilnius, tel. (8 5)  236 2444, </w:t>
      </w:r>
      <w:r w:rsidRPr="001B575D">
        <w:rPr>
          <w:rFonts w:ascii="Times New Roman" w:hAnsi="Times New Roman" w:cs="Times New Roman"/>
          <w:sz w:val="18"/>
          <w:szCs w:val="18"/>
        </w:rPr>
        <w:t>faks</w:t>
      </w:r>
      <w:r w:rsidR="007D3A40" w:rsidRPr="001B575D">
        <w:rPr>
          <w:rFonts w:ascii="Times New Roman" w:hAnsi="Times New Roman" w:cs="Times New Roman"/>
          <w:sz w:val="18"/>
          <w:szCs w:val="18"/>
        </w:rPr>
        <w:t>as</w:t>
      </w:r>
      <w:r w:rsidRPr="00DA497E">
        <w:rPr>
          <w:rFonts w:ascii="Times New Roman" w:hAnsi="Times New Roman" w:cs="Times New Roman"/>
          <w:sz w:val="18"/>
          <w:szCs w:val="18"/>
        </w:rPr>
        <w:t xml:space="preserve"> (8 5)</w:t>
      </w:r>
      <w:r w:rsidR="00E91952">
        <w:rPr>
          <w:rFonts w:ascii="Times New Roman" w:hAnsi="Times New Roman" w:cs="Times New Roman"/>
          <w:sz w:val="18"/>
          <w:szCs w:val="18"/>
        </w:rPr>
        <w:t xml:space="preserve"> </w:t>
      </w:r>
      <w:r w:rsidRPr="00DA497E">
        <w:rPr>
          <w:rFonts w:ascii="Times New Roman" w:hAnsi="Times New Roman" w:cs="Times New Roman"/>
          <w:sz w:val="18"/>
          <w:szCs w:val="18"/>
        </w:rPr>
        <w:t xml:space="preserve"> </w:t>
      </w:r>
      <w:r w:rsidR="003A30D6" w:rsidRPr="00012FB5">
        <w:rPr>
          <w:rFonts w:ascii="Times New Roman" w:hAnsi="Times New Roman" w:cs="Times New Roman"/>
          <w:sz w:val="18"/>
          <w:szCs w:val="18"/>
          <w:lang w:val="en-US"/>
        </w:rPr>
        <w:t>236 2626</w:t>
      </w:r>
    </w:p>
    <w:p w:rsidR="00DE1220" w:rsidRDefault="00DE1220" w:rsidP="00DE1220">
      <w:pPr>
        <w:pStyle w:val="Por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El. p. </w:t>
      </w:r>
      <w:hyperlink r:id="rId10" w:history="1">
        <w:r>
          <w:rPr>
            <w:rStyle w:val="Hipersaitas"/>
            <w:rFonts w:ascii="Times New Roman" w:hAnsi="Times New Roman" w:cs="Times New Roman"/>
            <w:sz w:val="18"/>
            <w:szCs w:val="18"/>
          </w:rPr>
          <w:t>urm@urm.lt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11" w:history="1">
        <w:r>
          <w:rPr>
            <w:rStyle w:val="Hipersaitas"/>
            <w:rFonts w:ascii="Times New Roman" w:hAnsi="Times New Roman" w:cs="Times New Roman"/>
            <w:sz w:val="18"/>
            <w:szCs w:val="18"/>
          </w:rPr>
          <w:t>http://www.urm.lt</w:t>
        </w:r>
      </w:hyperlink>
    </w:p>
    <w:p w:rsidR="00DA497E" w:rsidRPr="00DA497E" w:rsidRDefault="00DD196E" w:rsidP="00985071">
      <w:pPr>
        <w:pStyle w:val="Porat"/>
        <w:jc w:val="center"/>
        <w:rPr>
          <w:rFonts w:ascii="Times New Roman" w:hAnsi="Times New Roman" w:cs="Times New Roman"/>
          <w:sz w:val="18"/>
          <w:szCs w:val="18"/>
        </w:rPr>
      </w:pPr>
      <w:r w:rsidRPr="00DD196E">
        <w:rPr>
          <w:rStyle w:val="Hipersaitas"/>
          <w:rFonts w:ascii="Times New Roman" w:hAnsi="Times New Roman" w:cs="Times New Roman"/>
          <w:color w:val="auto"/>
          <w:sz w:val="18"/>
          <w:szCs w:val="18"/>
          <w:u w:val="none"/>
        </w:rPr>
        <w:t>Duo</w:t>
      </w:r>
      <w:r w:rsidR="00DA497E" w:rsidRPr="00DA497E">
        <w:rPr>
          <w:rFonts w:ascii="Times New Roman" w:hAnsi="Times New Roman" w:cs="Times New Roman"/>
          <w:sz w:val="18"/>
          <w:szCs w:val="18"/>
        </w:rPr>
        <w:t>menys kaupiami ir saugomi Juridinių asmenų registre, kodas 188613242</w:t>
      </w:r>
    </w:p>
    <w:tbl>
      <w:tblPr>
        <w:tblStyle w:val="Lentelstinklelis"/>
        <w:tblW w:w="96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DA497E" w:rsidRPr="00DA497E" w:rsidTr="00EB0A7C">
        <w:trPr>
          <w:trHeight w:val="270"/>
        </w:trPr>
        <w:tc>
          <w:tcPr>
            <w:tcW w:w="9608" w:type="dxa"/>
          </w:tcPr>
          <w:p w:rsidR="00DA497E" w:rsidRPr="00DA497E" w:rsidRDefault="00DA497E" w:rsidP="00DA497E">
            <w:pPr>
              <w:pStyle w:val="Porat"/>
              <w:jc w:val="center"/>
              <w:rPr>
                <w:sz w:val="24"/>
                <w:szCs w:val="24"/>
              </w:rPr>
            </w:pPr>
          </w:p>
        </w:tc>
      </w:tr>
    </w:tbl>
    <w:p w:rsidR="009E0D8B" w:rsidRPr="009E0D8B" w:rsidRDefault="009E0D8B" w:rsidP="009E0D8B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E0D8B">
        <w:rPr>
          <w:rFonts w:ascii="Times New Roman" w:hAnsi="Times New Roman" w:cs="Times New Roman"/>
          <w:sz w:val="24"/>
        </w:rPr>
        <w:t>Lietuvos Respublikos ministerijoms</w:t>
      </w:r>
      <w:r w:rsidRPr="009E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2022-03-0</w:t>
      </w:r>
      <w:r w:rsidR="00C0002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E89">
        <w:rPr>
          <w:rFonts w:ascii="Times New Roman" w:eastAsia="Times New Roman" w:hAnsi="Times New Roman" w:cs="Times New Roman"/>
          <w:sz w:val="24"/>
          <w:szCs w:val="24"/>
        </w:rPr>
        <w:t>Nr.</w:t>
      </w:r>
    </w:p>
    <w:p w:rsidR="00807F3A" w:rsidRPr="009E0D8B" w:rsidRDefault="00807F3A" w:rsidP="009E0D8B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E0D8B">
        <w:rPr>
          <w:rFonts w:ascii="Times New Roman" w:hAnsi="Times New Roman" w:cs="Times New Roman"/>
          <w:sz w:val="24"/>
        </w:rPr>
        <w:t>Lietuvos bankui</w:t>
      </w:r>
    </w:p>
    <w:p w:rsidR="00807F3A" w:rsidRPr="009E0D8B" w:rsidRDefault="00807F3A" w:rsidP="009E0D8B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E0D8B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ietuvos </w:t>
      </w:r>
      <w:r w:rsidRPr="009E0D8B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espublikos</w:t>
      </w:r>
      <w:r w:rsidRPr="009E0D8B">
        <w:rPr>
          <w:rFonts w:ascii="Times New Roman" w:hAnsi="Times New Roman" w:cs="Times New Roman"/>
          <w:sz w:val="24"/>
        </w:rPr>
        <w:t xml:space="preserve"> generalinei prokuratūrai</w:t>
      </w:r>
    </w:p>
    <w:p w:rsidR="00807F3A" w:rsidRDefault="00807F3A" w:rsidP="009E0D8B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Lietuvos Respublikos konkurencijos tarybai</w:t>
      </w:r>
    </w:p>
    <w:p w:rsidR="00807F3A" w:rsidRPr="009E0D8B" w:rsidRDefault="00807F3A" w:rsidP="009E0D8B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Lietuvos Respublikos r</w:t>
      </w:r>
      <w:r w:rsidRPr="009E0D8B">
        <w:rPr>
          <w:rFonts w:ascii="Times New Roman" w:hAnsi="Times New Roman" w:cs="Times New Roman"/>
          <w:sz w:val="24"/>
        </w:rPr>
        <w:t>yšių reguliavimo tarnybai</w:t>
      </w:r>
    </w:p>
    <w:p w:rsidR="00807F3A" w:rsidRPr="009E0D8B" w:rsidRDefault="00807F3A" w:rsidP="009E0D8B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E0D8B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ietuvos </w:t>
      </w:r>
      <w:r w:rsidRPr="009E0D8B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espublikos</w:t>
      </w:r>
      <w:r w:rsidRPr="009E0D8B">
        <w:rPr>
          <w:rFonts w:ascii="Times New Roman" w:hAnsi="Times New Roman" w:cs="Times New Roman"/>
          <w:sz w:val="24"/>
        </w:rPr>
        <w:t xml:space="preserve"> specialiųjų tyrimų tarnybai</w:t>
      </w:r>
    </w:p>
    <w:p w:rsidR="00807F3A" w:rsidRDefault="00807F3A" w:rsidP="009E0D8B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Lietuvos Respublikos valstybės kontrolei</w:t>
      </w:r>
    </w:p>
    <w:p w:rsidR="00807F3A" w:rsidRDefault="00807F3A" w:rsidP="009E0D8B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E0D8B">
        <w:rPr>
          <w:rFonts w:ascii="Times New Roman" w:hAnsi="Times New Roman" w:cs="Times New Roman"/>
          <w:sz w:val="24"/>
        </w:rPr>
        <w:t>Lietuvos statistikos departamentui</w:t>
      </w:r>
    </w:p>
    <w:p w:rsidR="00807F3A" w:rsidRDefault="00807F3A" w:rsidP="009E0D8B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541AE">
        <w:rPr>
          <w:rFonts w:ascii="Times New Roman" w:hAnsi="Times New Roman" w:cs="Times New Roman"/>
          <w:sz w:val="24"/>
        </w:rPr>
        <w:t>Valstybin</w:t>
      </w:r>
      <w:r>
        <w:rPr>
          <w:rFonts w:ascii="Times New Roman" w:hAnsi="Times New Roman" w:cs="Times New Roman"/>
          <w:sz w:val="24"/>
        </w:rPr>
        <w:t>ei</w:t>
      </w:r>
      <w:r w:rsidRPr="001541AE">
        <w:rPr>
          <w:rFonts w:ascii="Times New Roman" w:hAnsi="Times New Roman" w:cs="Times New Roman"/>
          <w:sz w:val="24"/>
        </w:rPr>
        <w:t xml:space="preserve"> atominės energetikos saugos inspekcija</w:t>
      </w:r>
      <w:r>
        <w:rPr>
          <w:rFonts w:ascii="Times New Roman" w:hAnsi="Times New Roman" w:cs="Times New Roman"/>
          <w:sz w:val="24"/>
        </w:rPr>
        <w:t>i</w:t>
      </w:r>
      <w:r w:rsidRPr="001541AE">
        <w:rPr>
          <w:rFonts w:ascii="Times New Roman" w:hAnsi="Times New Roman" w:cs="Times New Roman"/>
          <w:sz w:val="24"/>
        </w:rPr>
        <w:t xml:space="preserve"> (VATESI)</w:t>
      </w:r>
    </w:p>
    <w:p w:rsidR="00807F3A" w:rsidRPr="009E0D8B" w:rsidRDefault="00807F3A" w:rsidP="009E0D8B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E0D8B">
        <w:rPr>
          <w:rFonts w:ascii="Times New Roman" w:hAnsi="Times New Roman" w:cs="Times New Roman"/>
          <w:sz w:val="24"/>
        </w:rPr>
        <w:t>Valstybinei maisto ir veterinarijos tarnybai</w:t>
      </w:r>
    </w:p>
    <w:p w:rsidR="004F2476" w:rsidRDefault="009E0D8B" w:rsidP="009E0D8B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9E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5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6"/>
        <w:gridCol w:w="2826"/>
      </w:tblGrid>
      <w:tr w:rsidR="00462B3F" w:rsidRPr="00A61E89" w:rsidTr="008755F7">
        <w:trPr>
          <w:trHeight w:val="1179"/>
        </w:trPr>
        <w:tc>
          <w:tcPr>
            <w:tcW w:w="6696" w:type="dxa"/>
          </w:tcPr>
          <w:p w:rsidR="009E0D8B" w:rsidRPr="009E0D8B" w:rsidRDefault="00DF225E" w:rsidP="009E0D8B">
            <w:pPr>
              <w:tabs>
                <w:tab w:val="center" w:pos="4153"/>
                <w:tab w:val="right" w:pos="8306"/>
              </w:tabs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Kopija</w:t>
            </w:r>
          </w:p>
          <w:p w:rsidR="003472F4" w:rsidRDefault="003472F4" w:rsidP="009E0D8B">
            <w:pPr>
              <w:tabs>
                <w:tab w:val="center" w:pos="4153"/>
                <w:tab w:val="right" w:pos="8306"/>
              </w:tabs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Respublikos Prezidento kanceliarijai</w:t>
            </w:r>
          </w:p>
          <w:p w:rsidR="003472F4" w:rsidRDefault="003472F4" w:rsidP="009E0D8B">
            <w:pPr>
              <w:tabs>
                <w:tab w:val="center" w:pos="4153"/>
                <w:tab w:val="right" w:pos="8306"/>
              </w:tabs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Respublikos Seimo kanceliarijai</w:t>
            </w:r>
          </w:p>
          <w:p w:rsidR="009E0D8B" w:rsidRDefault="009E0D8B" w:rsidP="009E0D8B">
            <w:pPr>
              <w:tabs>
                <w:tab w:val="center" w:pos="4153"/>
                <w:tab w:val="right" w:pos="8306"/>
              </w:tabs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8B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Respub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likos Vyriausybės kanceliarijai</w:t>
            </w:r>
          </w:p>
          <w:p w:rsidR="009E0D8B" w:rsidRDefault="009E0D8B" w:rsidP="009E0D8B">
            <w:pPr>
              <w:tabs>
                <w:tab w:val="center" w:pos="4153"/>
                <w:tab w:val="right" w:pos="8306"/>
              </w:tabs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8B">
              <w:rPr>
                <w:rFonts w:ascii="Times New Roman" w:eastAsia="Times New Roman" w:hAnsi="Times New Roman" w:cs="Times New Roman"/>
                <w:sz w:val="24"/>
                <w:szCs w:val="24"/>
              </w:rPr>
              <w:t>Valstybės saugumo departamentui</w:t>
            </w:r>
          </w:p>
          <w:p w:rsidR="009E0D8B" w:rsidRDefault="009E0D8B" w:rsidP="004310A7">
            <w:pPr>
              <w:tabs>
                <w:tab w:val="center" w:pos="4153"/>
                <w:tab w:val="right" w:pos="8306"/>
              </w:tabs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FB5" w:rsidRDefault="00012FB5" w:rsidP="004310A7">
            <w:pPr>
              <w:tabs>
                <w:tab w:val="center" w:pos="4153"/>
                <w:tab w:val="right" w:pos="8306"/>
              </w:tabs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FB5" w:rsidRPr="00A61E89" w:rsidRDefault="00012FB5" w:rsidP="004310A7">
            <w:pPr>
              <w:tabs>
                <w:tab w:val="center" w:pos="4153"/>
                <w:tab w:val="right" w:pos="8306"/>
              </w:tabs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62B3F" w:rsidRPr="00A61E89" w:rsidRDefault="00462B3F" w:rsidP="007E06B2">
            <w:pPr>
              <w:tabs>
                <w:tab w:val="left" w:pos="1296"/>
                <w:tab w:val="center" w:pos="4153"/>
                <w:tab w:val="right" w:pos="8306"/>
              </w:tabs>
              <w:spacing w:after="0" w:line="36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E0D8B" w:rsidRDefault="009E0D8B" w:rsidP="0046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B3F" w:rsidRPr="00A61E89" w:rsidRDefault="00462B3F" w:rsidP="0046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61E89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860208">
        <w:rPr>
          <w:rFonts w:ascii="Times New Roman" w:eastAsia="Times New Roman" w:hAnsi="Times New Roman" w:cs="Times New Roman"/>
          <w:b/>
          <w:sz w:val="24"/>
          <w:szCs w:val="24"/>
        </w:rPr>
        <w:t>BENDRADARBIAVIMO SU RUSIJOS FEDERACIJ</w:t>
      </w:r>
      <w:r w:rsidR="005B57E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60208">
        <w:rPr>
          <w:rFonts w:ascii="Times New Roman" w:eastAsia="Times New Roman" w:hAnsi="Times New Roman" w:cs="Times New Roman"/>
          <w:b/>
          <w:sz w:val="24"/>
          <w:szCs w:val="24"/>
        </w:rPr>
        <w:t xml:space="preserve"> IR BALTARUSIJOS RESPUBLIK</w:t>
      </w:r>
      <w:r w:rsidR="005B57E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602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2B3F" w:rsidRPr="00A61E89" w:rsidRDefault="00462B3F" w:rsidP="0046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DA1" w:rsidRDefault="00F63DA1" w:rsidP="0056782E">
      <w:pPr>
        <w:tabs>
          <w:tab w:val="left" w:pos="1296"/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191" w:rsidRDefault="00860208" w:rsidP="009E0D8B">
      <w:pPr>
        <w:tabs>
          <w:tab w:val="left" w:pos="1296"/>
          <w:tab w:val="center" w:pos="4153"/>
          <w:tab w:val="right" w:pos="8306"/>
        </w:tabs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62B3F">
        <w:rPr>
          <w:rFonts w:ascii="Times New Roman" w:eastAsia="Times New Roman" w:hAnsi="Times New Roman" w:cs="Times New Roman"/>
          <w:sz w:val="24"/>
          <w:szCs w:val="24"/>
        </w:rPr>
        <w:t>žsienio</w:t>
      </w:r>
      <w:r w:rsidR="00462B3F" w:rsidRPr="00A61E89">
        <w:rPr>
          <w:rFonts w:ascii="Times New Roman" w:eastAsia="Times New Roman" w:hAnsi="Times New Roman" w:cs="Times New Roman"/>
          <w:sz w:val="24"/>
          <w:szCs w:val="24"/>
        </w:rPr>
        <w:t xml:space="preserve"> reikalų ministerija</w:t>
      </w:r>
      <w:r w:rsidR="00675191">
        <w:rPr>
          <w:rFonts w:ascii="Times New Roman" w:eastAsia="Times New Roman" w:hAnsi="Times New Roman" w:cs="Times New Roman"/>
          <w:sz w:val="24"/>
          <w:szCs w:val="24"/>
        </w:rPr>
        <w:t xml:space="preserve">, atsižvelgdama į </w:t>
      </w:r>
      <w:r w:rsidR="00675191" w:rsidRPr="00886F43">
        <w:rPr>
          <w:rFonts w:ascii="Times New Roman" w:eastAsia="Times New Roman" w:hAnsi="Times New Roman" w:cs="Times New Roman"/>
          <w:sz w:val="24"/>
          <w:szCs w:val="24"/>
        </w:rPr>
        <w:t xml:space="preserve">Rusijos Federacijos </w:t>
      </w:r>
      <w:r w:rsidR="00675191">
        <w:rPr>
          <w:rFonts w:ascii="Times New Roman" w:eastAsia="Times New Roman" w:hAnsi="Times New Roman" w:cs="Times New Roman"/>
          <w:sz w:val="24"/>
          <w:szCs w:val="24"/>
        </w:rPr>
        <w:t xml:space="preserve">(toliau – RF) </w:t>
      </w:r>
      <w:r w:rsidR="00675191" w:rsidRPr="00886F43">
        <w:rPr>
          <w:rFonts w:ascii="Times New Roman" w:eastAsia="Times New Roman" w:hAnsi="Times New Roman" w:cs="Times New Roman"/>
          <w:sz w:val="24"/>
          <w:szCs w:val="24"/>
        </w:rPr>
        <w:t>ir Baltarusijos Respublikos</w:t>
      </w:r>
      <w:r w:rsidR="00675191">
        <w:rPr>
          <w:rFonts w:ascii="Times New Roman" w:eastAsia="Times New Roman" w:hAnsi="Times New Roman" w:cs="Times New Roman"/>
          <w:sz w:val="24"/>
          <w:szCs w:val="24"/>
        </w:rPr>
        <w:t xml:space="preserve"> (toliau – BR) vykdomą beprecedentę karinę</w:t>
      </w:r>
      <w:r w:rsidR="00675191" w:rsidRPr="00886F43">
        <w:rPr>
          <w:rFonts w:ascii="Times New Roman" w:eastAsia="Times New Roman" w:hAnsi="Times New Roman" w:cs="Times New Roman"/>
          <w:sz w:val="24"/>
          <w:szCs w:val="24"/>
        </w:rPr>
        <w:t xml:space="preserve"> agresij</w:t>
      </w:r>
      <w:r w:rsidR="00675191">
        <w:rPr>
          <w:rFonts w:ascii="Times New Roman" w:eastAsia="Times New Roman" w:hAnsi="Times New Roman" w:cs="Times New Roman"/>
          <w:sz w:val="24"/>
          <w:szCs w:val="24"/>
        </w:rPr>
        <w:t>ą prieš Ukrainą ir tokiais veiksmais šiurkščiai pažeidžiamą tarptautinę teisę, Lietuvos Respublikos valstybės institucijoms</w:t>
      </w:r>
      <w:r w:rsidR="00DF22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5191">
        <w:rPr>
          <w:rFonts w:ascii="Times New Roman" w:eastAsia="Times New Roman" w:hAnsi="Times New Roman" w:cs="Times New Roman"/>
          <w:sz w:val="24"/>
          <w:szCs w:val="24"/>
        </w:rPr>
        <w:t xml:space="preserve"> įstaigoms ir jų darbuotojams rekomenduoja:</w:t>
      </w:r>
    </w:p>
    <w:p w:rsidR="00CE1DD2" w:rsidRPr="00C00023" w:rsidRDefault="009455C1" w:rsidP="009E0D8B">
      <w:pPr>
        <w:pStyle w:val="Sraopastraipa"/>
        <w:numPr>
          <w:ilvl w:val="0"/>
          <w:numId w:val="1"/>
        </w:numPr>
        <w:tabs>
          <w:tab w:val="left" w:pos="1296"/>
          <w:tab w:val="center" w:pos="4153"/>
          <w:tab w:val="right" w:pos="8306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6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priboti </w:t>
      </w:r>
      <w:r w:rsidR="00CE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bendradarbiavimą su </w:t>
      </w:r>
      <w:r w:rsidR="00354591">
        <w:rPr>
          <w:rFonts w:ascii="Times New Roman" w:eastAsia="Times New Roman" w:hAnsi="Times New Roman" w:cs="Times New Roman"/>
          <w:color w:val="000000"/>
          <w:sz w:val="24"/>
          <w:szCs w:val="24"/>
        </w:rPr>
        <w:t>RF</w:t>
      </w:r>
      <w:r w:rsidR="00CE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</w:t>
      </w:r>
      <w:r w:rsidR="00354591"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 w:rsidR="00F6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institucijomis</w:t>
      </w:r>
      <w:r w:rsidR="00A5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iki </w:t>
      </w:r>
      <w:r w:rsidR="00F63DA1">
        <w:rPr>
          <w:rFonts w:ascii="Times New Roman" w:eastAsia="Times New Roman" w:hAnsi="Times New Roman" w:cs="Times New Roman"/>
          <w:color w:val="000000"/>
          <w:sz w:val="24"/>
          <w:szCs w:val="24"/>
        </w:rPr>
        <w:t>minimaliai būtin</w:t>
      </w:r>
      <w:r w:rsidR="00A5693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63D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tarptautinių sutarčių, </w:t>
      </w:r>
      <w:r w:rsidR="00354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tarptautinių </w:t>
      </w:r>
      <w:r w:rsidR="00CE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tarpžinybinių susitarimų ar </w:t>
      </w:r>
      <w:r w:rsidR="0033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kitokio pobūdžio susitarimų ir </w:t>
      </w:r>
      <w:r w:rsidR="00CE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memorandumų </w:t>
      </w:r>
      <w:r w:rsidR="0033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RF ir BR </w:t>
      </w:r>
      <w:r w:rsidR="00CE1DD2">
        <w:rPr>
          <w:rFonts w:ascii="Times New Roman" w:eastAsia="Times New Roman" w:hAnsi="Times New Roman" w:cs="Times New Roman"/>
          <w:color w:val="000000"/>
          <w:sz w:val="24"/>
          <w:szCs w:val="24"/>
        </w:rPr>
        <w:t>taikymo poreikį vertinti per pirmaeilių Lietuvos Respublikos ir Lietuvos Respublikos piliečių interesų užtikrinimo prizmę</w:t>
      </w:r>
      <w:r w:rsidR="0033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13B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3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atsižvelgiant į prisiimtus </w:t>
      </w:r>
      <w:r w:rsidR="0033104A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>imperatyvius į</w:t>
      </w:r>
      <w:r w:rsidR="002D3EA6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33104A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>pareigojimus.</w:t>
      </w:r>
    </w:p>
    <w:p w:rsidR="00D76CBE" w:rsidRPr="00C00023" w:rsidRDefault="00A56934" w:rsidP="00D76CBE">
      <w:pPr>
        <w:pStyle w:val="Sraopastraipa"/>
        <w:numPr>
          <w:ilvl w:val="0"/>
          <w:numId w:val="1"/>
        </w:numPr>
        <w:tabs>
          <w:tab w:val="left" w:pos="1296"/>
          <w:tab w:val="center" w:pos="4153"/>
          <w:tab w:val="right" w:pos="8306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>Apriboti</w:t>
      </w:r>
      <w:r w:rsidR="007D67C9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76CBE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D47C6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>epalaikyti jokių oficiali</w:t>
      </w:r>
      <w:r w:rsidR="009455C1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4D47C6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kontakt</w:t>
      </w:r>
      <w:r w:rsidR="009455C1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275236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(tiek raštu, tiek žodžiu)</w:t>
      </w:r>
      <w:r w:rsidR="004D47C6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BED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RF ir BR institucijoms ir jų pareigūnais, </w:t>
      </w:r>
      <w:r w:rsidR="007D67C9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>išskyrus atvejus</w:t>
      </w:r>
      <w:r w:rsidR="009455C1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D67C9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susijusius su </w:t>
      </w:r>
      <w:r w:rsidR="009B13B0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gyvybiškais svarbiais </w:t>
      </w:r>
      <w:r w:rsidR="001558DF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>Lietuvos Respublikos interesais ar</w:t>
      </w:r>
      <w:r w:rsidR="007D67C9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specifinius operatyvius </w:t>
      </w:r>
      <w:r w:rsidR="009339F5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atvejus. </w:t>
      </w:r>
    </w:p>
    <w:p w:rsidR="004D47C6" w:rsidRPr="00C00023" w:rsidRDefault="00D76CBE" w:rsidP="00D76CBE">
      <w:pPr>
        <w:pStyle w:val="Sraopastraipa"/>
        <w:numPr>
          <w:ilvl w:val="0"/>
          <w:numId w:val="1"/>
        </w:numPr>
        <w:tabs>
          <w:tab w:val="left" w:pos="1296"/>
          <w:tab w:val="center" w:pos="4153"/>
          <w:tab w:val="right" w:pos="8306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Institucijoms gavus tiesioginius kreipimusis iš RF ar BR ambasadų Vilniuje, informuoti, kad toks susirašinėjimas turi būti vykdomas tik per Užsienio reikalų ministeriją (išskyrus atvejus</w:t>
      </w:r>
      <w:r w:rsidR="005178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numatytus </w:t>
      </w:r>
      <w:r w:rsidR="002D4160"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>tarptautinėse sutartyse</w:t>
      </w:r>
      <w:r w:rsidRPr="00C0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 konsulinių santykių). </w:t>
      </w:r>
    </w:p>
    <w:p w:rsidR="004E6A32" w:rsidRDefault="00CF35E0" w:rsidP="009E0D8B">
      <w:pPr>
        <w:pStyle w:val="Sraopastraipa"/>
        <w:numPr>
          <w:ilvl w:val="0"/>
          <w:numId w:val="1"/>
        </w:numPr>
        <w:tabs>
          <w:tab w:val="left" w:pos="1296"/>
          <w:tab w:val="center" w:pos="4153"/>
          <w:tab w:val="right" w:pos="8306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Nedalyvauti </w:t>
      </w:r>
      <w:r w:rsidR="00521BED"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RF ir BR organizuojamuose </w:t>
      </w:r>
      <w:r w:rsidR="00275236"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 kokio formato </w:t>
      </w:r>
      <w:r w:rsidR="00521BED"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>renginiuose ar</w:t>
      </w:r>
      <w:r w:rsidR="00275236"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renginiuose,</w:t>
      </w:r>
      <w:r w:rsidR="00521BED"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5FA"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>prie kurių organizavimo prisideda RF ar BR</w:t>
      </w:r>
      <w:r w:rsidR="004E6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F225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E6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nekviesti šių valstybių atstovų į Lietuvoje organizuojamus renginius</w:t>
      </w:r>
      <w:r w:rsidR="0033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Lietuvos organizuojamus renginius daugiašaliuose formatuose</w:t>
      </w:r>
      <w:r w:rsidR="001D25FA"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310A7"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70EF" w:rsidRPr="004310A7" w:rsidRDefault="001E70EF" w:rsidP="009E0D8B">
      <w:pPr>
        <w:pStyle w:val="Sraopastraipa"/>
        <w:numPr>
          <w:ilvl w:val="0"/>
          <w:numId w:val="1"/>
        </w:numPr>
        <w:tabs>
          <w:tab w:val="left" w:pos="1296"/>
          <w:tab w:val="center" w:pos="4153"/>
          <w:tab w:val="right" w:pos="8306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>Dalyvaujant daugiašaliuose formatuose aktyviai smerkti</w:t>
      </w:r>
      <w:r w:rsid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pasitelkus </w:t>
      </w:r>
      <w:r w:rsidR="000E7BC3">
        <w:rPr>
          <w:rFonts w:ascii="Times New Roman" w:eastAsia="Times New Roman" w:hAnsi="Times New Roman" w:cs="Times New Roman"/>
          <w:color w:val="000000"/>
          <w:sz w:val="24"/>
          <w:szCs w:val="24"/>
        </w:rPr>
        <w:t>ar sub</w:t>
      </w:r>
      <w:r w:rsidR="009B13B0">
        <w:rPr>
          <w:rFonts w:ascii="Times New Roman" w:eastAsia="Times New Roman" w:hAnsi="Times New Roman" w:cs="Times New Roman"/>
          <w:color w:val="000000"/>
          <w:sz w:val="24"/>
          <w:szCs w:val="24"/>
        </w:rPr>
        <w:t>ū</w:t>
      </w:r>
      <w:r w:rsidR="000E7BC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F225E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0E7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bendraminčių valstybių atstovus, </w:t>
      </w:r>
      <w:r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RF ir BR karinės agresijos veiksmus prieš Ukrainą, </w:t>
      </w:r>
      <w:r w:rsidR="009B1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</w:t>
      </w:r>
      <w:r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>reikalau</w:t>
      </w:r>
      <w:r w:rsidR="009B13B0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nedelsiant nutraukti</w:t>
      </w:r>
      <w:r w:rsidR="00856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karinę agresiją</w:t>
      </w:r>
      <w:r w:rsidRPr="0043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E7BC3" w:rsidRDefault="00BA7026" w:rsidP="009E0D8B">
      <w:pPr>
        <w:pStyle w:val="Sraopastraipa"/>
        <w:numPr>
          <w:ilvl w:val="0"/>
          <w:numId w:val="1"/>
        </w:numPr>
        <w:tabs>
          <w:tab w:val="left" w:pos="1296"/>
          <w:tab w:val="center" w:pos="4153"/>
          <w:tab w:val="right" w:pos="8306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E7BC3" w:rsidRPr="000E7BC3">
        <w:rPr>
          <w:rFonts w:ascii="Times New Roman" w:eastAsia="Times New Roman" w:hAnsi="Times New Roman" w:cs="Times New Roman"/>
          <w:color w:val="000000"/>
          <w:sz w:val="24"/>
          <w:szCs w:val="24"/>
        </w:rPr>
        <w:t>tsižvelg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iant</w:t>
      </w:r>
      <w:r w:rsidR="000E7BC3" w:rsidRPr="000E7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teisines</w:t>
      </w:r>
      <w:r w:rsidR="00861FD3">
        <w:rPr>
          <w:rFonts w:ascii="Times New Roman" w:eastAsia="Times New Roman" w:hAnsi="Times New Roman" w:cs="Times New Roman"/>
          <w:color w:val="000000"/>
          <w:sz w:val="24"/>
          <w:szCs w:val="24"/>
        </w:rPr>
        <w:t>/procedūrines</w:t>
      </w:r>
      <w:r w:rsidR="000E7BC3" w:rsidRPr="000E7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galimybes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įvertinus galimą</w:t>
      </w:r>
      <w:r w:rsidR="00C3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poveikį</w:t>
      </w:r>
      <w:r w:rsidR="000E7BC3" w:rsidRPr="000E7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3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siekti </w:t>
      </w:r>
      <w:r w:rsidR="000E7BC3" w:rsidRPr="000E7BC3">
        <w:rPr>
          <w:rFonts w:ascii="Times New Roman" w:eastAsia="Times New Roman" w:hAnsi="Times New Roman" w:cs="Times New Roman"/>
          <w:color w:val="000000"/>
          <w:sz w:val="24"/>
          <w:szCs w:val="24"/>
        </w:rPr>
        <w:t>RF i</w:t>
      </w:r>
      <w:r w:rsidR="000E7BC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E7BC3" w:rsidRPr="000E7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0E7BC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E7BC3" w:rsidRPr="000E7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pašalinimo ar jų </w:t>
      </w:r>
      <w:r w:rsidR="000E7BC3" w:rsidRPr="000E7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narystės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314F5">
        <w:rPr>
          <w:rFonts w:ascii="Times New Roman" w:eastAsia="Times New Roman" w:hAnsi="Times New Roman" w:cs="Times New Roman"/>
          <w:color w:val="000000"/>
          <w:sz w:val="24"/>
          <w:szCs w:val="24"/>
        </w:rPr>
        <w:t>ustabdymo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tarptautinėse organizacijose, tarptautinėse institucijose ir kituose daugiašaliuose formatuose</w:t>
      </w:r>
      <w:r w:rsidR="00C314F5">
        <w:rPr>
          <w:rFonts w:ascii="Times New Roman" w:eastAsia="Times New Roman" w:hAnsi="Times New Roman" w:cs="Times New Roman"/>
          <w:color w:val="000000"/>
          <w:sz w:val="24"/>
          <w:szCs w:val="24"/>
        </w:rPr>
        <w:t>, taip pa</w:t>
      </w:r>
      <w:r w:rsidR="0051787F">
        <w:rPr>
          <w:rFonts w:ascii="Times New Roman" w:eastAsia="Times New Roman" w:hAnsi="Times New Roman" w:cs="Times New Roman"/>
          <w:color w:val="000000"/>
          <w:sz w:val="24"/>
          <w:szCs w:val="24"/>
        </w:rPr>
        <w:t>t RF ir BR atstovų pašalinimo/</w:t>
      </w:r>
      <w:r w:rsidR="00C3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neišrinkimo tarptautinių organizacijų valdymo organuose, tarptautinių organizacijų vykdomų programų su RF ir BR nutraukimo, prioritetą teikiant </w:t>
      </w:r>
      <w:r w:rsidR="0051787F">
        <w:rPr>
          <w:rFonts w:ascii="Times New Roman" w:eastAsia="Times New Roman" w:hAnsi="Times New Roman" w:cs="Times New Roman"/>
          <w:color w:val="000000"/>
          <w:sz w:val="24"/>
          <w:szCs w:val="24"/>
        </w:rPr>
        <w:t>bendrai Europos Sąjungos valstybių ar bendraminčių valstybių koordinuotai pozicijai šiais klausimais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7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Pozicijų dėl RF ir BR ribojimo tarptautiniuose formatuose koordinavimo klausimais prašome konsultuotis su Užsienio reikalų ministerija (</w:t>
      </w:r>
      <w:hyperlink r:id="rId12" w:history="1">
        <w:r w:rsidR="0051787F" w:rsidRPr="00E57A35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jtd</w:t>
        </w:r>
        <w:r w:rsidR="0051787F" w:rsidRPr="00861FD3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@urm.lt</w:t>
        </w:r>
      </w:hyperlink>
      <w:r w:rsidR="0051787F" w:rsidRPr="00861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56782E" w:rsidRDefault="00275236" w:rsidP="009E0D8B">
      <w:pPr>
        <w:tabs>
          <w:tab w:val="left" w:pos="1296"/>
          <w:tab w:val="center" w:pos="4153"/>
          <w:tab w:val="right" w:pos="8306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Prašome </w:t>
      </w:r>
      <w:r w:rsidR="009B13B0">
        <w:rPr>
          <w:rFonts w:ascii="Times New Roman" w:eastAsia="Times New Roman" w:hAnsi="Times New Roman" w:cs="Times New Roman"/>
          <w:color w:val="000000"/>
          <w:sz w:val="24"/>
          <w:szCs w:val="24"/>
        </w:rPr>
        <w:t>su šiomis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rekomendacij</w:t>
      </w:r>
      <w:r w:rsidR="009B13B0">
        <w:rPr>
          <w:rFonts w:ascii="Times New Roman" w:eastAsia="Times New Roman" w:hAnsi="Times New Roman" w:cs="Times New Roman"/>
          <w:color w:val="000000"/>
          <w:sz w:val="24"/>
          <w:szCs w:val="24"/>
        </w:rPr>
        <w:t>omis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1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supažindinti </w:t>
      </w:r>
      <w:r w:rsidR="00BA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Jūsų valdymo srities institucijas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pavaldžias įstaigas ir užtikrinti jų laikymąsi.</w:t>
      </w:r>
    </w:p>
    <w:p w:rsidR="00462B3F" w:rsidRDefault="00462B3F" w:rsidP="009E0D8B">
      <w:pPr>
        <w:spacing w:after="0" w:line="360" w:lineRule="auto"/>
        <w:ind w:left="131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1FD3" w:rsidRDefault="00861FD3" w:rsidP="009E0D8B">
      <w:pPr>
        <w:spacing w:after="0" w:line="360" w:lineRule="auto"/>
        <w:ind w:left="131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2B3F" w:rsidRDefault="00462B3F" w:rsidP="009E0D8B">
      <w:pPr>
        <w:spacing w:after="0" w:line="360" w:lineRule="auto"/>
        <w:ind w:left="131"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1317"/>
        <w:gridCol w:w="3485"/>
      </w:tblGrid>
      <w:tr w:rsidR="00462B3F" w:rsidRPr="00463196" w:rsidTr="007E06B2">
        <w:trPr>
          <w:cantSplit/>
          <w:trHeight w:val="367"/>
        </w:trPr>
        <w:tc>
          <w:tcPr>
            <w:tcW w:w="4796" w:type="dxa"/>
            <w:hideMark/>
          </w:tcPr>
          <w:p w:rsidR="00462B3F" w:rsidRPr="00463196" w:rsidRDefault="00952C72" w:rsidP="009E0D8B">
            <w:pPr>
              <w:keepNext/>
              <w:tabs>
                <w:tab w:val="left" w:pos="709"/>
                <w:tab w:val="left" w:pos="77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reikalų ministras</w:t>
            </w:r>
          </w:p>
        </w:tc>
        <w:tc>
          <w:tcPr>
            <w:tcW w:w="1317" w:type="dxa"/>
            <w:hideMark/>
          </w:tcPr>
          <w:p w:rsidR="00462B3F" w:rsidRPr="00463196" w:rsidRDefault="00462B3F" w:rsidP="009E0D8B">
            <w:pPr>
              <w:keepNext/>
              <w:tabs>
                <w:tab w:val="left" w:pos="7777"/>
              </w:tabs>
              <w:spacing w:line="360" w:lineRule="auto"/>
              <w:jc w:val="center"/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</w:pPr>
            <w:r w:rsidRPr="00463196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ašo vieta (informacija nespausdinama)"/>
                  <w:textInput>
                    <w:default w:val="Parašo vieta"/>
                  </w:textInput>
                </w:ffData>
              </w:fldChar>
            </w:r>
            <w:r w:rsidRPr="00463196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  <w:instrText xml:space="preserve"> FORMTEXT </w:instrText>
            </w:r>
            <w:r w:rsidRPr="00463196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</w:r>
            <w:r w:rsidRPr="00463196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  <w:fldChar w:fldCharType="separate"/>
            </w:r>
            <w:r w:rsidRPr="00463196">
              <w:rPr>
                <w:rFonts w:ascii="Times New Roman" w:hAnsi="Times New Roman" w:cs="Times New Roman"/>
                <w:noProof/>
                <w:vanish/>
                <w:color w:val="0000FF"/>
                <w:sz w:val="24"/>
                <w:szCs w:val="24"/>
              </w:rPr>
              <w:t>Parašo vieta</w:t>
            </w:r>
            <w:r w:rsidRPr="00463196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485" w:type="dxa"/>
            <w:hideMark/>
          </w:tcPr>
          <w:p w:rsidR="00462B3F" w:rsidRPr="00463196" w:rsidRDefault="00561148" w:rsidP="00952C72">
            <w:pPr>
              <w:keepNext/>
              <w:tabs>
                <w:tab w:val="left" w:pos="7777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72">
              <w:rPr>
                <w:rFonts w:ascii="Times New Roman" w:hAnsi="Times New Roman" w:cs="Times New Roman"/>
                <w:sz w:val="24"/>
                <w:szCs w:val="24"/>
              </w:rPr>
              <w:t>Gabrielius Landsbergis</w:t>
            </w:r>
          </w:p>
        </w:tc>
      </w:tr>
    </w:tbl>
    <w:p w:rsidR="00406328" w:rsidRDefault="00406328" w:rsidP="009E0D8B">
      <w:pPr>
        <w:pStyle w:val="Pora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E0D8B" w:rsidRDefault="009E0D8B" w:rsidP="009E0D8B">
      <w:pPr>
        <w:pStyle w:val="Pora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E0D8B" w:rsidRDefault="009E0D8B" w:rsidP="009E0D8B">
      <w:pPr>
        <w:pStyle w:val="Pora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E0D8B" w:rsidRDefault="009E0D8B" w:rsidP="009E0D8B">
      <w:pPr>
        <w:pStyle w:val="Pora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E0D8B" w:rsidRDefault="009E0D8B" w:rsidP="00733447">
      <w:pPr>
        <w:pStyle w:val="Porat"/>
        <w:rPr>
          <w:rFonts w:ascii="Times New Roman" w:hAnsi="Times New Roman" w:cs="Times New Roman"/>
          <w:sz w:val="20"/>
          <w:szCs w:val="20"/>
        </w:rPr>
      </w:pPr>
    </w:p>
    <w:p w:rsidR="009E0D8B" w:rsidRDefault="009E0D8B" w:rsidP="00733447">
      <w:pPr>
        <w:pStyle w:val="Porat"/>
        <w:rPr>
          <w:rFonts w:ascii="Times New Roman" w:hAnsi="Times New Roman" w:cs="Times New Roman"/>
          <w:sz w:val="20"/>
          <w:szCs w:val="20"/>
        </w:rPr>
      </w:pPr>
    </w:p>
    <w:p w:rsidR="009E0D8B" w:rsidRDefault="009E0D8B" w:rsidP="00733447">
      <w:pPr>
        <w:pStyle w:val="Porat"/>
        <w:rPr>
          <w:rFonts w:ascii="Times New Roman" w:hAnsi="Times New Roman" w:cs="Times New Roman"/>
          <w:sz w:val="20"/>
          <w:szCs w:val="20"/>
        </w:rPr>
      </w:pPr>
    </w:p>
    <w:p w:rsidR="009E0D8B" w:rsidRDefault="009E0D8B" w:rsidP="00733447">
      <w:pPr>
        <w:pStyle w:val="Porat"/>
        <w:rPr>
          <w:rFonts w:ascii="Times New Roman" w:hAnsi="Times New Roman" w:cs="Times New Roman"/>
          <w:sz w:val="20"/>
          <w:szCs w:val="20"/>
        </w:rPr>
      </w:pPr>
    </w:p>
    <w:p w:rsidR="009E0D8B" w:rsidRDefault="009E0D8B" w:rsidP="00733447">
      <w:pPr>
        <w:pStyle w:val="Porat"/>
        <w:rPr>
          <w:rFonts w:ascii="Times New Roman" w:hAnsi="Times New Roman" w:cs="Times New Roman"/>
          <w:sz w:val="20"/>
          <w:szCs w:val="20"/>
        </w:rPr>
      </w:pPr>
    </w:p>
    <w:p w:rsidR="009E0D8B" w:rsidRDefault="009E0D8B" w:rsidP="00733447">
      <w:pPr>
        <w:pStyle w:val="Porat"/>
        <w:rPr>
          <w:rFonts w:ascii="Times New Roman" w:hAnsi="Times New Roman" w:cs="Times New Roman"/>
          <w:sz w:val="20"/>
          <w:szCs w:val="20"/>
        </w:rPr>
      </w:pPr>
    </w:p>
    <w:p w:rsidR="009E0D8B" w:rsidRDefault="009E0D8B" w:rsidP="00733447">
      <w:pPr>
        <w:pStyle w:val="Porat"/>
        <w:rPr>
          <w:rFonts w:ascii="Times New Roman" w:hAnsi="Times New Roman" w:cs="Times New Roman"/>
          <w:sz w:val="20"/>
          <w:szCs w:val="20"/>
        </w:rPr>
      </w:pPr>
    </w:p>
    <w:p w:rsidR="009E0D8B" w:rsidRDefault="009E0D8B" w:rsidP="00733447">
      <w:pPr>
        <w:pStyle w:val="Porat"/>
        <w:rPr>
          <w:rFonts w:ascii="Times New Roman" w:hAnsi="Times New Roman" w:cs="Times New Roman"/>
          <w:sz w:val="20"/>
          <w:szCs w:val="20"/>
        </w:rPr>
      </w:pPr>
    </w:p>
    <w:p w:rsidR="009E0D8B" w:rsidRDefault="009E0D8B" w:rsidP="00733447">
      <w:pPr>
        <w:pStyle w:val="Porat"/>
        <w:rPr>
          <w:rFonts w:ascii="Times New Roman" w:hAnsi="Times New Roman" w:cs="Times New Roman"/>
          <w:sz w:val="20"/>
          <w:szCs w:val="20"/>
        </w:rPr>
      </w:pPr>
    </w:p>
    <w:p w:rsidR="00406328" w:rsidRDefault="00406328" w:rsidP="00733447">
      <w:pPr>
        <w:pStyle w:val="Porat"/>
        <w:rPr>
          <w:rFonts w:ascii="Times New Roman" w:hAnsi="Times New Roman" w:cs="Times New Roman"/>
          <w:sz w:val="20"/>
          <w:szCs w:val="20"/>
        </w:rPr>
      </w:pPr>
    </w:p>
    <w:p w:rsidR="00406328" w:rsidRPr="00344BBC" w:rsidRDefault="003E76EF" w:rsidP="00733447">
      <w:pPr>
        <w:pStyle w:val="Porat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>Jurgita Jankūnienė</w:t>
      </w:r>
      <w:r w:rsidR="00040BB7">
        <w:rPr>
          <w:rFonts w:ascii="Times New Roman" w:hAnsi="Times New Roman" w:cs="Times New Roman"/>
          <w:sz w:val="20"/>
          <w:szCs w:val="20"/>
        </w:rPr>
        <w:t xml:space="preserve"> (Baltarusijos klausimais)</w:t>
      </w:r>
      <w:r>
        <w:rPr>
          <w:rFonts w:ascii="Times New Roman" w:hAnsi="Times New Roman" w:cs="Times New Roman"/>
          <w:sz w:val="20"/>
          <w:szCs w:val="20"/>
        </w:rPr>
        <w:t xml:space="preserve">, tel. 870652831, </w:t>
      </w:r>
      <w:hyperlink r:id="rId13" w:history="1">
        <w:r w:rsidRPr="00347C6E">
          <w:rPr>
            <w:rStyle w:val="Hipersaitas"/>
            <w:rFonts w:ascii="Times New Roman" w:hAnsi="Times New Roman" w:cs="Times New Roman"/>
            <w:sz w:val="20"/>
            <w:szCs w:val="20"/>
          </w:rPr>
          <w:t>jurgita.jankuniene</w:t>
        </w:r>
        <w:r w:rsidRPr="00344BBC">
          <w:rPr>
            <w:rStyle w:val="Hipersaitas"/>
            <w:rFonts w:ascii="Times New Roman" w:hAnsi="Times New Roman" w:cs="Times New Roman"/>
            <w:sz w:val="20"/>
            <w:szCs w:val="20"/>
            <w:lang w:val="fr-FR"/>
          </w:rPr>
          <w:t>@urm.lt</w:t>
        </w:r>
      </w:hyperlink>
      <w:r w:rsidRPr="00344BB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:rsidR="002F778F" w:rsidRPr="00BA3D8C" w:rsidRDefault="00682687" w:rsidP="00733447">
      <w:pPr>
        <w:pStyle w:val="Porat"/>
        <w:rPr>
          <w:rFonts w:ascii="Times New Roman" w:hAnsi="Times New Roman" w:cs="Times New Roman"/>
          <w:sz w:val="20"/>
          <w:szCs w:val="20"/>
        </w:rPr>
      </w:pPr>
      <w:r w:rsidRPr="00BA3D8C">
        <w:rPr>
          <w:rFonts w:ascii="Times New Roman" w:hAnsi="Times New Roman" w:cs="Times New Roman"/>
          <w:sz w:val="20"/>
          <w:szCs w:val="20"/>
        </w:rPr>
        <w:t>Tomas Sikorskis</w:t>
      </w:r>
      <w:r w:rsidR="00040BB7">
        <w:rPr>
          <w:rFonts w:ascii="Times New Roman" w:hAnsi="Times New Roman" w:cs="Times New Roman"/>
          <w:sz w:val="20"/>
          <w:szCs w:val="20"/>
        </w:rPr>
        <w:t xml:space="preserve"> (Rusijos klausimais)</w:t>
      </w:r>
      <w:r w:rsidR="00462B3F" w:rsidRPr="00BA3D8C">
        <w:rPr>
          <w:rFonts w:ascii="Times New Roman" w:hAnsi="Times New Roman" w:cs="Times New Roman"/>
          <w:sz w:val="20"/>
          <w:szCs w:val="20"/>
        </w:rPr>
        <w:t xml:space="preserve">, tel. </w:t>
      </w:r>
      <w:r w:rsidR="000E7BC3" w:rsidRPr="00BA3D8C">
        <w:rPr>
          <w:rFonts w:ascii="Times New Roman" w:hAnsi="Times New Roman" w:cs="Times New Roman"/>
          <w:sz w:val="20"/>
          <w:szCs w:val="20"/>
        </w:rPr>
        <w:t>870652</w:t>
      </w:r>
      <w:r w:rsidR="009455C1">
        <w:rPr>
          <w:rFonts w:ascii="Times New Roman" w:hAnsi="Times New Roman" w:cs="Times New Roman"/>
          <w:sz w:val="20"/>
          <w:szCs w:val="20"/>
        </w:rPr>
        <w:t>210</w:t>
      </w:r>
      <w:r w:rsidR="00462B3F" w:rsidRPr="00BA3D8C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="000E7BC3" w:rsidRPr="00BA3D8C">
          <w:rPr>
            <w:rStyle w:val="Hipersaitas"/>
            <w:rFonts w:ascii="Times New Roman" w:hAnsi="Times New Roman" w:cs="Times New Roman"/>
            <w:sz w:val="20"/>
            <w:szCs w:val="20"/>
          </w:rPr>
          <w:t>tomas.sikorskis@urm.lt</w:t>
        </w:r>
      </w:hyperlink>
    </w:p>
    <w:p w:rsidR="000E7BC3" w:rsidRPr="00A56934" w:rsidRDefault="00BA3D8C" w:rsidP="00733447">
      <w:pPr>
        <w:pStyle w:val="Porat"/>
        <w:rPr>
          <w:rFonts w:ascii="Times New Roman" w:hAnsi="Times New Roman" w:cs="Times New Roman"/>
          <w:sz w:val="20"/>
          <w:szCs w:val="20"/>
          <w:lang w:val="fr-FR"/>
        </w:rPr>
      </w:pPr>
      <w:r w:rsidRPr="00BA3D8C">
        <w:rPr>
          <w:rFonts w:ascii="Times New Roman" w:hAnsi="Times New Roman" w:cs="Times New Roman"/>
          <w:sz w:val="20"/>
          <w:szCs w:val="20"/>
          <w:lang w:val="fr-FR"/>
        </w:rPr>
        <w:t>Ingrida Bačiulienė</w:t>
      </w:r>
      <w:r w:rsidR="00040BB7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r w:rsidR="00040BB7" w:rsidRPr="00040BB7">
        <w:rPr>
          <w:rFonts w:ascii="Times New Roman" w:hAnsi="Times New Roman" w:cs="Times New Roman"/>
          <w:sz w:val="20"/>
          <w:szCs w:val="20"/>
        </w:rPr>
        <w:t>tarptautinių sutarčių klausimais</w:t>
      </w:r>
      <w:r w:rsidR="00040BB7">
        <w:rPr>
          <w:rFonts w:ascii="Times New Roman" w:hAnsi="Times New Roman" w:cs="Times New Roman"/>
          <w:sz w:val="20"/>
          <w:szCs w:val="20"/>
          <w:lang w:val="fr-FR"/>
        </w:rPr>
        <w:t>)</w:t>
      </w:r>
      <w:r w:rsidRPr="00BA3D8C">
        <w:rPr>
          <w:rFonts w:ascii="Times New Roman" w:hAnsi="Times New Roman" w:cs="Times New Roman"/>
          <w:sz w:val="20"/>
          <w:szCs w:val="20"/>
          <w:lang w:val="fr-FR"/>
        </w:rPr>
        <w:t xml:space="preserve">, tel. 870652910, </w:t>
      </w:r>
      <w:hyperlink r:id="rId15" w:history="1">
        <w:r w:rsidR="009455C1" w:rsidRPr="00347C6E">
          <w:rPr>
            <w:rStyle w:val="Hipersaitas"/>
            <w:rFonts w:ascii="Times New Roman" w:hAnsi="Times New Roman" w:cs="Times New Roman"/>
            <w:sz w:val="20"/>
            <w:szCs w:val="20"/>
            <w:lang w:val="fr-FR"/>
          </w:rPr>
          <w:t>ingrida.baciuliene@urm.lt</w:t>
        </w:r>
      </w:hyperlink>
      <w:r w:rsidR="009455C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sectPr w:rsidR="000E7BC3" w:rsidRPr="00A56934" w:rsidSect="00BA3D8C">
      <w:pgSz w:w="11906" w:h="16838"/>
      <w:pgMar w:top="851" w:right="566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EC" w:rsidRDefault="00522CEC" w:rsidP="00776513">
      <w:pPr>
        <w:spacing w:after="0" w:line="240" w:lineRule="auto"/>
      </w:pPr>
      <w:r>
        <w:separator/>
      </w:r>
    </w:p>
  </w:endnote>
  <w:endnote w:type="continuationSeparator" w:id="0">
    <w:p w:rsidR="00522CEC" w:rsidRDefault="00522CEC" w:rsidP="0077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EC" w:rsidRDefault="00522CEC" w:rsidP="00776513">
      <w:pPr>
        <w:spacing w:after="0" w:line="240" w:lineRule="auto"/>
      </w:pPr>
      <w:r>
        <w:separator/>
      </w:r>
    </w:p>
  </w:footnote>
  <w:footnote w:type="continuationSeparator" w:id="0">
    <w:p w:rsidR="00522CEC" w:rsidRDefault="00522CEC" w:rsidP="0077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6B27"/>
    <w:multiLevelType w:val="hybridMultilevel"/>
    <w:tmpl w:val="240E7A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B3"/>
    <w:rsid w:val="00012FB5"/>
    <w:rsid w:val="000310F1"/>
    <w:rsid w:val="00040BB7"/>
    <w:rsid w:val="000813AD"/>
    <w:rsid w:val="00090E21"/>
    <w:rsid w:val="00094FAD"/>
    <w:rsid w:val="000A7543"/>
    <w:rsid w:val="000E7BC3"/>
    <w:rsid w:val="000F2537"/>
    <w:rsid w:val="000F685E"/>
    <w:rsid w:val="000F791E"/>
    <w:rsid w:val="001007A8"/>
    <w:rsid w:val="001113A7"/>
    <w:rsid w:val="001541AE"/>
    <w:rsid w:val="001558DF"/>
    <w:rsid w:val="001958E4"/>
    <w:rsid w:val="00195ED0"/>
    <w:rsid w:val="001A05FF"/>
    <w:rsid w:val="001B575D"/>
    <w:rsid w:val="001D25FA"/>
    <w:rsid w:val="001D5AA3"/>
    <w:rsid w:val="001D621D"/>
    <w:rsid w:val="001E70EF"/>
    <w:rsid w:val="001F7F70"/>
    <w:rsid w:val="0022452F"/>
    <w:rsid w:val="00255EF4"/>
    <w:rsid w:val="00267757"/>
    <w:rsid w:val="00275236"/>
    <w:rsid w:val="00281737"/>
    <w:rsid w:val="002D2419"/>
    <w:rsid w:val="002D3EA6"/>
    <w:rsid w:val="002D4160"/>
    <w:rsid w:val="002E3928"/>
    <w:rsid w:val="002F4BE0"/>
    <w:rsid w:val="002F778F"/>
    <w:rsid w:val="0032274E"/>
    <w:rsid w:val="00322CE7"/>
    <w:rsid w:val="0033104A"/>
    <w:rsid w:val="00344BBC"/>
    <w:rsid w:val="003472F4"/>
    <w:rsid w:val="00354591"/>
    <w:rsid w:val="00377DA9"/>
    <w:rsid w:val="0039124C"/>
    <w:rsid w:val="003A30D6"/>
    <w:rsid w:val="003B27CD"/>
    <w:rsid w:val="003B3157"/>
    <w:rsid w:val="003B31BA"/>
    <w:rsid w:val="003B4702"/>
    <w:rsid w:val="003C3E47"/>
    <w:rsid w:val="003E76EF"/>
    <w:rsid w:val="004036CB"/>
    <w:rsid w:val="00405F6B"/>
    <w:rsid w:val="00406328"/>
    <w:rsid w:val="004310A7"/>
    <w:rsid w:val="004351D1"/>
    <w:rsid w:val="00460A29"/>
    <w:rsid w:val="00462B3F"/>
    <w:rsid w:val="004D47C6"/>
    <w:rsid w:val="004E6A32"/>
    <w:rsid w:val="004F0AE0"/>
    <w:rsid w:val="004F2476"/>
    <w:rsid w:val="0051787F"/>
    <w:rsid w:val="00521BED"/>
    <w:rsid w:val="00522CEC"/>
    <w:rsid w:val="00536F3B"/>
    <w:rsid w:val="005469B8"/>
    <w:rsid w:val="005509DB"/>
    <w:rsid w:val="0055520F"/>
    <w:rsid w:val="00561148"/>
    <w:rsid w:val="0056782E"/>
    <w:rsid w:val="005B57EB"/>
    <w:rsid w:val="005F2FDC"/>
    <w:rsid w:val="006204F2"/>
    <w:rsid w:val="00621FBF"/>
    <w:rsid w:val="006453ED"/>
    <w:rsid w:val="00675191"/>
    <w:rsid w:val="00682687"/>
    <w:rsid w:val="006C590C"/>
    <w:rsid w:val="006C67B2"/>
    <w:rsid w:val="00730917"/>
    <w:rsid w:val="00733447"/>
    <w:rsid w:val="00744580"/>
    <w:rsid w:val="00776513"/>
    <w:rsid w:val="00776561"/>
    <w:rsid w:val="007D3A40"/>
    <w:rsid w:val="007D67C9"/>
    <w:rsid w:val="008056AC"/>
    <w:rsid w:val="00807F3A"/>
    <w:rsid w:val="00811BB8"/>
    <w:rsid w:val="0085600D"/>
    <w:rsid w:val="00860208"/>
    <w:rsid w:val="00861FD3"/>
    <w:rsid w:val="00875578"/>
    <w:rsid w:val="008755F7"/>
    <w:rsid w:val="00886F43"/>
    <w:rsid w:val="00890147"/>
    <w:rsid w:val="008965CA"/>
    <w:rsid w:val="008A1B0E"/>
    <w:rsid w:val="008A2059"/>
    <w:rsid w:val="008B4BF1"/>
    <w:rsid w:val="008C5A7A"/>
    <w:rsid w:val="008D6E9E"/>
    <w:rsid w:val="009036E2"/>
    <w:rsid w:val="00914087"/>
    <w:rsid w:val="00920B9A"/>
    <w:rsid w:val="009339F5"/>
    <w:rsid w:val="009455C1"/>
    <w:rsid w:val="00946BB3"/>
    <w:rsid w:val="00952C72"/>
    <w:rsid w:val="0095485B"/>
    <w:rsid w:val="00985071"/>
    <w:rsid w:val="009B13B0"/>
    <w:rsid w:val="009D753E"/>
    <w:rsid w:val="009E0D8B"/>
    <w:rsid w:val="00A12B5B"/>
    <w:rsid w:val="00A144C5"/>
    <w:rsid w:val="00A56934"/>
    <w:rsid w:val="00A620B8"/>
    <w:rsid w:val="00A808B5"/>
    <w:rsid w:val="00AA38FE"/>
    <w:rsid w:val="00AB10E0"/>
    <w:rsid w:val="00AB2DBC"/>
    <w:rsid w:val="00AB4659"/>
    <w:rsid w:val="00B10267"/>
    <w:rsid w:val="00B11C67"/>
    <w:rsid w:val="00B1605B"/>
    <w:rsid w:val="00B20652"/>
    <w:rsid w:val="00B32DE4"/>
    <w:rsid w:val="00B359E1"/>
    <w:rsid w:val="00B5093C"/>
    <w:rsid w:val="00B7388A"/>
    <w:rsid w:val="00BA3D8C"/>
    <w:rsid w:val="00BA7026"/>
    <w:rsid w:val="00BC516A"/>
    <w:rsid w:val="00BF539B"/>
    <w:rsid w:val="00C00023"/>
    <w:rsid w:val="00C314F5"/>
    <w:rsid w:val="00C32633"/>
    <w:rsid w:val="00C671CC"/>
    <w:rsid w:val="00C75E66"/>
    <w:rsid w:val="00C96E26"/>
    <w:rsid w:val="00CA65FB"/>
    <w:rsid w:val="00CE1B44"/>
    <w:rsid w:val="00CE1DD2"/>
    <w:rsid w:val="00CF35E0"/>
    <w:rsid w:val="00D05C4A"/>
    <w:rsid w:val="00D2222F"/>
    <w:rsid w:val="00D3706D"/>
    <w:rsid w:val="00D76CBE"/>
    <w:rsid w:val="00DA497E"/>
    <w:rsid w:val="00DB64D4"/>
    <w:rsid w:val="00DC2E9F"/>
    <w:rsid w:val="00DC69EE"/>
    <w:rsid w:val="00DD196E"/>
    <w:rsid w:val="00DD6C23"/>
    <w:rsid w:val="00DE1220"/>
    <w:rsid w:val="00DF225E"/>
    <w:rsid w:val="00E06133"/>
    <w:rsid w:val="00E0747D"/>
    <w:rsid w:val="00E114C6"/>
    <w:rsid w:val="00E54022"/>
    <w:rsid w:val="00E91952"/>
    <w:rsid w:val="00E97F42"/>
    <w:rsid w:val="00EA17EE"/>
    <w:rsid w:val="00EB0460"/>
    <w:rsid w:val="00EE3854"/>
    <w:rsid w:val="00EE6F6F"/>
    <w:rsid w:val="00EE7983"/>
    <w:rsid w:val="00F01BAF"/>
    <w:rsid w:val="00F32CBB"/>
    <w:rsid w:val="00F3679F"/>
    <w:rsid w:val="00F63DA1"/>
    <w:rsid w:val="00FB2D2C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7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6513"/>
  </w:style>
  <w:style w:type="paragraph" w:styleId="Porat">
    <w:name w:val="footer"/>
    <w:basedOn w:val="prastasis"/>
    <w:link w:val="PoratDiagrama"/>
    <w:uiPriority w:val="99"/>
    <w:unhideWhenUsed/>
    <w:rsid w:val="0077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6513"/>
  </w:style>
  <w:style w:type="character" w:styleId="Hipersaitas">
    <w:name w:val="Hyperlink"/>
    <w:uiPriority w:val="99"/>
    <w:rsid w:val="00DA497E"/>
    <w:rPr>
      <w:color w:val="0000FF"/>
      <w:u w:val="single"/>
    </w:rPr>
  </w:style>
  <w:style w:type="table" w:styleId="Lentelstinklelis">
    <w:name w:val="Table Grid"/>
    <w:basedOn w:val="prastojilentel"/>
    <w:rsid w:val="00DA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1952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36F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36F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36F3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36F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36F3B"/>
    <w:rPr>
      <w:b/>
      <w:bCs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62B3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62B3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62B3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4D4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7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6513"/>
  </w:style>
  <w:style w:type="paragraph" w:styleId="Porat">
    <w:name w:val="footer"/>
    <w:basedOn w:val="prastasis"/>
    <w:link w:val="PoratDiagrama"/>
    <w:uiPriority w:val="99"/>
    <w:unhideWhenUsed/>
    <w:rsid w:val="0077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6513"/>
  </w:style>
  <w:style w:type="character" w:styleId="Hipersaitas">
    <w:name w:val="Hyperlink"/>
    <w:uiPriority w:val="99"/>
    <w:rsid w:val="00DA497E"/>
    <w:rPr>
      <w:color w:val="0000FF"/>
      <w:u w:val="single"/>
    </w:rPr>
  </w:style>
  <w:style w:type="table" w:styleId="Lentelstinklelis">
    <w:name w:val="Table Grid"/>
    <w:basedOn w:val="prastojilentel"/>
    <w:rsid w:val="00DA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1952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36F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36F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36F3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36F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36F3B"/>
    <w:rPr>
      <w:b/>
      <w:bCs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62B3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62B3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62B3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4D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rgita.jankuniene@urm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td@urm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m.l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grida.baciuliene@urm.lt" TargetMode="External"/><Relationship Id="rId10" Type="http://schemas.openxmlformats.org/officeDocument/2006/relationships/hyperlink" Target="mailto:urm@urm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omas.sikorskis@ur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7174-4685-4D71-9167-1BE180B9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2660</Words>
  <Characters>1517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URM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TRABUTYTĖ-PAKINA</dc:creator>
  <cp:lastModifiedBy>Tatjana Karpova</cp:lastModifiedBy>
  <cp:revision>3</cp:revision>
  <cp:lastPrinted>2022-03-07T13:11:00Z</cp:lastPrinted>
  <dcterms:created xsi:type="dcterms:W3CDTF">2022-03-15T08:32:00Z</dcterms:created>
  <dcterms:modified xsi:type="dcterms:W3CDTF">2022-03-15T14:33:00Z</dcterms:modified>
</cp:coreProperties>
</file>